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D64" w:rsidRDefault="00CA5D64" w:rsidP="00CA5D64">
      <w:pPr>
        <w:spacing w:after="200"/>
        <w:jc w:val="center"/>
        <w:rPr>
          <w:rFonts w:ascii="Calibri" w:eastAsia="Calibri" w:hAnsi="Calibri" w:cs="Calibri"/>
          <w:b/>
          <w:sz w:val="27"/>
          <w:lang w:val="en-US"/>
        </w:rPr>
      </w:pPr>
      <w:r>
        <w:rPr>
          <w:rFonts w:ascii="Calibri" w:eastAsia="Calibri" w:hAnsi="Calibri" w:cs="Calibri"/>
          <w:b/>
          <w:noProof/>
          <w:sz w:val="27"/>
          <w:lang w:val="en-US" w:eastAsia="en-US"/>
        </w:rPr>
        <w:drawing>
          <wp:inline distT="0" distB="0" distL="0" distR="0">
            <wp:extent cx="1343025" cy="952500"/>
            <wp:effectExtent l="19050" t="0" r="9525" b="0"/>
            <wp:docPr id="1" name="Picture 1" descr="CCAD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ADVlogo"/>
                    <pic:cNvPicPr>
                      <a:picLocks noChangeAspect="1" noChangeArrowheads="1"/>
                    </pic:cNvPicPr>
                  </pic:nvPicPr>
                  <pic:blipFill>
                    <a:blip r:embed="rId6" cstate="print"/>
                    <a:srcRect/>
                    <a:stretch>
                      <a:fillRect/>
                    </a:stretch>
                  </pic:blipFill>
                  <pic:spPr bwMode="auto">
                    <a:xfrm>
                      <a:off x="0" y="0"/>
                      <a:ext cx="1343025" cy="952500"/>
                    </a:xfrm>
                    <a:prstGeom prst="rect">
                      <a:avLst/>
                    </a:prstGeom>
                    <a:noFill/>
                    <a:ln w="9525">
                      <a:noFill/>
                      <a:miter lim="800000"/>
                      <a:headEnd/>
                      <a:tailEnd/>
                    </a:ln>
                  </pic:spPr>
                </pic:pic>
              </a:graphicData>
            </a:graphic>
          </wp:inline>
        </w:drawing>
      </w:r>
    </w:p>
    <w:p w:rsidR="00CA5D64" w:rsidRDefault="00CA5D64" w:rsidP="00CA5D64">
      <w:pPr>
        <w:spacing w:after="200"/>
        <w:jc w:val="center"/>
      </w:pPr>
      <w:r>
        <w:rPr>
          <w:rFonts w:ascii="Calibri" w:eastAsia="Calibri" w:hAnsi="Calibri" w:cs="Calibri"/>
          <w:b/>
          <w:sz w:val="27"/>
          <w:lang w:val="en-US"/>
        </w:rPr>
        <w:t>Enhancing Colorado’s Address Confidentiality Program</w:t>
      </w:r>
      <w:r>
        <w:t xml:space="preserve"> </w:t>
      </w:r>
    </w:p>
    <w:p w:rsidR="00CA5D64" w:rsidRPr="00B15AB3" w:rsidRDefault="00CA5D64" w:rsidP="00CA5D64">
      <w:pPr>
        <w:spacing w:after="200"/>
        <w:jc w:val="center"/>
        <w:rPr>
          <w:lang w:val="en-US"/>
        </w:rPr>
      </w:pPr>
      <w:r>
        <w:rPr>
          <w:rFonts w:ascii="Calibri" w:eastAsia="Calibri" w:hAnsi="Calibri" w:cs="Calibri"/>
        </w:rPr>
        <w:t xml:space="preserve">House Bill </w:t>
      </w:r>
      <w:r w:rsidR="00B15AB3">
        <w:rPr>
          <w:rFonts w:ascii="Calibri" w:eastAsia="Calibri" w:hAnsi="Calibri" w:cs="Calibri"/>
          <w:lang w:val="en-US"/>
        </w:rPr>
        <w:t>11-1080</w:t>
      </w:r>
    </w:p>
    <w:p w:rsidR="00CA5D64" w:rsidRDefault="00CA5D64" w:rsidP="00CA5D64">
      <w:pPr>
        <w:jc w:val="center"/>
        <w:rPr>
          <w:rFonts w:ascii="Calibri" w:eastAsia="Calibri" w:hAnsi="Calibri" w:cs="Calibri"/>
          <w:sz w:val="15"/>
        </w:rPr>
      </w:pPr>
      <w:r>
        <w:t xml:space="preserve"> </w:t>
      </w:r>
      <w:r>
        <w:rPr>
          <w:rFonts w:ascii="Calibri" w:eastAsia="Calibri" w:hAnsi="Calibri" w:cs="Calibri"/>
        </w:rPr>
        <w:t xml:space="preserve">House Sponsor: </w:t>
      </w:r>
      <w:r>
        <w:rPr>
          <w:rFonts w:ascii="Calibri" w:eastAsia="Calibri" w:hAnsi="Calibri" w:cs="Calibri"/>
          <w:lang w:val="en-US"/>
        </w:rPr>
        <w:t>Todd</w:t>
      </w:r>
      <w:r>
        <w:rPr>
          <w:rFonts w:ascii="Calibri" w:eastAsia="Calibri" w:hAnsi="Calibri" w:cs="Calibri"/>
          <w:sz w:val="15"/>
        </w:rPr>
        <w:t xml:space="preserve"> </w:t>
      </w:r>
    </w:p>
    <w:p w:rsidR="00CA5D64" w:rsidRDefault="00CA5D64" w:rsidP="00CA5D64">
      <w:pPr>
        <w:jc w:val="center"/>
        <w:rPr>
          <w:rFonts w:ascii="Calibri" w:eastAsia="Calibri" w:hAnsi="Calibri" w:cs="Calibri"/>
          <w:lang w:val="en-US"/>
        </w:rPr>
      </w:pPr>
      <w:r>
        <w:rPr>
          <w:rFonts w:ascii="Calibri" w:eastAsia="Calibri" w:hAnsi="Calibri" w:cs="Calibri"/>
        </w:rPr>
        <w:t xml:space="preserve">Senate Sponsor: </w:t>
      </w:r>
      <w:r>
        <w:rPr>
          <w:rFonts w:ascii="Calibri" w:eastAsia="Calibri" w:hAnsi="Calibri" w:cs="Calibri"/>
          <w:lang w:val="en-US"/>
        </w:rPr>
        <w:t>King</w:t>
      </w:r>
    </w:p>
    <w:p w:rsidR="00CA5D64" w:rsidRPr="005D5844" w:rsidRDefault="00CA5D64" w:rsidP="00CA5D64">
      <w:pPr>
        <w:jc w:val="center"/>
        <w:rPr>
          <w:sz w:val="16"/>
        </w:rPr>
      </w:pPr>
    </w:p>
    <w:p w:rsidR="00CA5D64" w:rsidRDefault="00CA5D64" w:rsidP="00CA5D64">
      <w:pPr>
        <w:ind w:left="-270" w:right="-450"/>
        <w:rPr>
          <w:rFonts w:ascii="Calibri" w:hAnsi="Calibri"/>
          <w:sz w:val="22"/>
          <w:lang w:val="en-US"/>
        </w:rPr>
      </w:pPr>
      <w:r>
        <w:rPr>
          <w:rFonts w:ascii="Calibri" w:eastAsia="Calibri" w:hAnsi="Calibri" w:cs="Calibri"/>
          <w:b/>
          <w:i/>
          <w:lang w:val="en-US"/>
        </w:rPr>
        <w:t>Background on current statute</w:t>
      </w:r>
      <w:r>
        <w:rPr>
          <w:rFonts w:ascii="Calibri" w:eastAsia="Calibri" w:hAnsi="Calibri" w:cs="Calibri"/>
          <w:b/>
          <w:i/>
        </w:rPr>
        <w:t>:</w:t>
      </w:r>
      <w:r>
        <w:t xml:space="preserve"> </w:t>
      </w:r>
      <w:bookmarkStart w:id="0" w:name="Cc"/>
      <w:r w:rsidRPr="00457C31">
        <w:rPr>
          <w:rFonts w:ascii="Calibri" w:hAnsi="Calibri"/>
          <w:sz w:val="22"/>
        </w:rPr>
        <w:t xml:space="preserve">The </w:t>
      </w:r>
      <w:r>
        <w:rPr>
          <w:rFonts w:ascii="Calibri" w:hAnsi="Calibri"/>
          <w:sz w:val="22"/>
          <w:lang w:val="en-US"/>
        </w:rPr>
        <w:t>Address Confidentiality Program (ACP)</w:t>
      </w:r>
      <w:r w:rsidRPr="00457C31">
        <w:rPr>
          <w:rFonts w:ascii="Calibri" w:hAnsi="Calibri"/>
          <w:sz w:val="22"/>
        </w:rPr>
        <w:t xml:space="preserve"> was </w:t>
      </w:r>
      <w:bookmarkEnd w:id="0"/>
      <w:r w:rsidRPr="00457C31">
        <w:rPr>
          <w:rFonts w:ascii="Calibri" w:hAnsi="Calibri"/>
          <w:sz w:val="22"/>
        </w:rPr>
        <w:t>created under HB07-1350 to protect the confidentiality of the actual address of a victim of domestic violence, a sexual offense, or stalking who is about to relocate or who recently relocated to prevent the victim’s assailants or potential assailants from finding the victim through public records.</w:t>
      </w:r>
      <w:r>
        <w:rPr>
          <w:rFonts w:ascii="Calibri" w:hAnsi="Calibri"/>
          <w:sz w:val="22"/>
          <w:lang w:val="en-US"/>
        </w:rPr>
        <w:t xml:space="preserve"> </w:t>
      </w:r>
      <w:r w:rsidRPr="00457C31">
        <w:rPr>
          <w:rFonts w:ascii="Calibri" w:hAnsi="Calibri"/>
          <w:sz w:val="22"/>
        </w:rPr>
        <w:t>Currently, an ACP</w:t>
      </w:r>
      <w:r>
        <w:rPr>
          <w:rFonts w:ascii="Calibri" w:hAnsi="Calibri"/>
          <w:sz w:val="22"/>
          <w:lang w:val="en-US"/>
        </w:rPr>
        <w:t xml:space="preserve"> </w:t>
      </w:r>
      <w:r w:rsidRPr="00457C31">
        <w:rPr>
          <w:rFonts w:ascii="Calibri" w:hAnsi="Calibri"/>
          <w:sz w:val="22"/>
        </w:rPr>
        <w:t>participant must renew their certification in the program every 4 years</w:t>
      </w:r>
      <w:r>
        <w:rPr>
          <w:rFonts w:ascii="Calibri" w:hAnsi="Calibri"/>
          <w:sz w:val="22"/>
          <w:lang w:val="en-US"/>
        </w:rPr>
        <w:t xml:space="preserve"> and </w:t>
      </w:r>
      <w:r w:rsidRPr="00457C31">
        <w:rPr>
          <w:rFonts w:ascii="Calibri" w:hAnsi="Calibri"/>
          <w:sz w:val="22"/>
        </w:rPr>
        <w:t xml:space="preserve">the renewal application </w:t>
      </w:r>
      <w:r>
        <w:rPr>
          <w:rFonts w:ascii="Calibri" w:hAnsi="Calibri"/>
          <w:sz w:val="22"/>
        </w:rPr>
        <w:t xml:space="preserve">must </w:t>
      </w:r>
      <w:r w:rsidRPr="00457C31">
        <w:rPr>
          <w:rFonts w:ascii="Calibri" w:hAnsi="Calibri"/>
          <w:sz w:val="22"/>
        </w:rPr>
        <w:t>be signed</w:t>
      </w:r>
      <w:r>
        <w:rPr>
          <w:rFonts w:ascii="Calibri" w:hAnsi="Calibri"/>
          <w:sz w:val="22"/>
          <w:lang w:val="en-US"/>
        </w:rPr>
        <w:t xml:space="preserve"> and </w:t>
      </w:r>
      <w:r w:rsidRPr="00457C31">
        <w:rPr>
          <w:rFonts w:ascii="Calibri" w:hAnsi="Calibri"/>
          <w:sz w:val="22"/>
        </w:rPr>
        <w:t>dated by an application assistant</w:t>
      </w:r>
      <w:r>
        <w:rPr>
          <w:rFonts w:ascii="Calibri" w:hAnsi="Calibri"/>
          <w:sz w:val="22"/>
        </w:rPr>
        <w:t xml:space="preserve"> [CRS 24-21-205 (5)]</w:t>
      </w:r>
      <w:r w:rsidRPr="00457C31">
        <w:rPr>
          <w:rFonts w:ascii="Calibri" w:hAnsi="Calibri"/>
          <w:sz w:val="22"/>
        </w:rPr>
        <w:t>.</w:t>
      </w:r>
      <w:r>
        <w:rPr>
          <w:rFonts w:ascii="Calibri" w:hAnsi="Calibri"/>
          <w:sz w:val="22"/>
          <w:lang w:val="en-US"/>
        </w:rPr>
        <w:t xml:space="preserve"> </w:t>
      </w:r>
    </w:p>
    <w:p w:rsidR="002D2BDA" w:rsidRPr="00AE2EEA" w:rsidRDefault="002D2BDA" w:rsidP="00CA5D64">
      <w:pPr>
        <w:ind w:left="-270" w:right="-450"/>
        <w:rPr>
          <w:sz w:val="16"/>
          <w:szCs w:val="22"/>
          <w:lang w:val="en-US"/>
        </w:rPr>
      </w:pPr>
    </w:p>
    <w:p w:rsidR="002D2BDA" w:rsidRDefault="00CA5D64" w:rsidP="002D2BDA">
      <w:pPr>
        <w:jc w:val="center"/>
        <w:rPr>
          <w:rFonts w:ascii="Calibri" w:eastAsia="Calibri" w:hAnsi="Calibri" w:cs="Calibri"/>
          <w:b/>
          <w:sz w:val="26"/>
          <w:szCs w:val="26"/>
          <w:lang w:val="en-US"/>
        </w:rPr>
      </w:pPr>
      <w:r>
        <w:rPr>
          <w:rFonts w:ascii="Calibri" w:eastAsia="Calibri" w:hAnsi="Calibri" w:cs="Calibri"/>
          <w:b/>
          <w:sz w:val="27"/>
        </w:rPr>
        <w:t> </w:t>
      </w:r>
      <w:r w:rsidR="002D2BDA">
        <w:rPr>
          <w:rFonts w:ascii="Calibri" w:eastAsia="Calibri" w:hAnsi="Calibri" w:cs="Calibri"/>
          <w:b/>
          <w:sz w:val="26"/>
          <w:szCs w:val="26"/>
        </w:rPr>
        <w:t xml:space="preserve">WHAT </w:t>
      </w:r>
      <w:r w:rsidR="002D2BDA">
        <w:rPr>
          <w:rFonts w:ascii="Calibri" w:eastAsia="Calibri" w:hAnsi="Calibri" w:cs="Calibri"/>
          <w:b/>
          <w:sz w:val="26"/>
          <w:szCs w:val="26"/>
          <w:lang w:val="en-US"/>
        </w:rPr>
        <w:t>CHANGES TO THE LAW DOES THE BILL MAKE</w:t>
      </w:r>
      <w:r w:rsidRPr="00382185">
        <w:rPr>
          <w:rFonts w:ascii="Calibri" w:eastAsia="Calibri" w:hAnsi="Calibri" w:cs="Calibri"/>
          <w:b/>
          <w:sz w:val="26"/>
          <w:szCs w:val="26"/>
        </w:rPr>
        <w:t>?</w:t>
      </w:r>
    </w:p>
    <w:p w:rsidR="002D2BDA" w:rsidRDefault="002D2BDA" w:rsidP="002D2BDA">
      <w:pPr>
        <w:jc w:val="center"/>
        <w:rPr>
          <w:rFonts w:ascii="Calibri" w:eastAsia="Calibri" w:hAnsi="Calibri" w:cs="Calibri"/>
          <w:b/>
          <w:sz w:val="26"/>
          <w:szCs w:val="26"/>
          <w:lang w:val="en-US"/>
        </w:rPr>
      </w:pPr>
      <w:r>
        <w:rPr>
          <w:rFonts w:ascii="Calibri" w:eastAsia="Calibri" w:hAnsi="Calibri" w:cs="Calibri"/>
          <w:b/>
          <w:sz w:val="26"/>
          <w:szCs w:val="26"/>
          <w:lang w:val="en-US"/>
        </w:rPr>
        <w:t>(Law Effective June 2, 2011)</w:t>
      </w:r>
      <w:r w:rsidR="00CA5D64" w:rsidRPr="00382185">
        <w:rPr>
          <w:rFonts w:ascii="Calibri" w:eastAsia="Calibri" w:hAnsi="Calibri" w:cs="Calibri"/>
          <w:b/>
          <w:sz w:val="26"/>
          <w:szCs w:val="26"/>
        </w:rPr>
        <w:t xml:space="preserve"> </w:t>
      </w:r>
    </w:p>
    <w:p w:rsidR="00CA5D64" w:rsidRDefault="00CA5D64" w:rsidP="002D2BDA">
      <w:pPr>
        <w:jc w:val="center"/>
        <w:rPr>
          <w:rFonts w:ascii="Calibri" w:eastAsia="Calibri" w:hAnsi="Calibri" w:cs="Calibri"/>
          <w:b/>
          <w:sz w:val="26"/>
          <w:szCs w:val="26"/>
          <w:lang w:val="en-US"/>
        </w:rPr>
      </w:pPr>
      <w:r>
        <w:rPr>
          <w:sz w:val="26"/>
          <w:szCs w:val="26"/>
          <w:lang w:val="en-US"/>
        </w:rPr>
        <w:br/>
      </w:r>
      <w:r>
        <w:rPr>
          <w:rFonts w:ascii="Calibri" w:eastAsia="Calibri" w:hAnsi="Calibri" w:cs="Calibri"/>
          <w:b/>
          <w:sz w:val="26"/>
          <w:szCs w:val="26"/>
          <w:lang w:val="en-US"/>
        </w:rPr>
        <w:t>Strengthens the ACP for current and future participants</w:t>
      </w:r>
    </w:p>
    <w:p w:rsidR="002D2BDA" w:rsidRPr="00544B67" w:rsidRDefault="002D2BDA" w:rsidP="002D2BDA">
      <w:pPr>
        <w:jc w:val="center"/>
        <w:rPr>
          <w:sz w:val="26"/>
          <w:szCs w:val="26"/>
        </w:rPr>
      </w:pPr>
      <w:bookmarkStart w:id="1" w:name="_GoBack"/>
      <w:bookmarkEnd w:id="1"/>
    </w:p>
    <w:p w:rsidR="00CA5D64" w:rsidRPr="00873B87" w:rsidRDefault="00CA5D64" w:rsidP="00CA5D64">
      <w:pPr>
        <w:numPr>
          <w:ilvl w:val="0"/>
          <w:numId w:val="2"/>
        </w:numPr>
        <w:spacing w:after="200"/>
        <w:rPr>
          <w:sz w:val="26"/>
          <w:szCs w:val="26"/>
        </w:rPr>
      </w:pPr>
      <w:r>
        <w:rPr>
          <w:rFonts w:ascii="Calibri" w:eastAsia="Calibri" w:hAnsi="Calibri" w:cs="Calibri"/>
          <w:lang w:val="en-US"/>
        </w:rPr>
        <w:t>This bill will remove the requirement that renewal applications be signed and dated by an application assistant.</w:t>
      </w:r>
    </w:p>
    <w:p w:rsidR="00CA5D64" w:rsidRPr="00873B87" w:rsidRDefault="00CA5D64" w:rsidP="00CA5D64">
      <w:pPr>
        <w:numPr>
          <w:ilvl w:val="0"/>
          <w:numId w:val="2"/>
        </w:numPr>
        <w:spacing w:after="200"/>
        <w:rPr>
          <w:sz w:val="26"/>
          <w:szCs w:val="26"/>
        </w:rPr>
      </w:pPr>
      <w:r>
        <w:rPr>
          <w:rFonts w:ascii="Calibri" w:eastAsia="Calibri" w:hAnsi="Calibri" w:cs="Calibri"/>
          <w:lang w:val="en-US"/>
        </w:rPr>
        <w:t xml:space="preserve">This bill </w:t>
      </w:r>
      <w:r w:rsidR="002D2BDA">
        <w:rPr>
          <w:rFonts w:ascii="Calibri" w:eastAsia="Calibri" w:hAnsi="Calibri" w:cs="Calibri"/>
          <w:lang w:val="en-US"/>
        </w:rPr>
        <w:t>relocates the ACP from the Secretary of State’s Office to the Department of Personnel and Administration</w:t>
      </w:r>
      <w:r>
        <w:rPr>
          <w:rFonts w:ascii="Calibri" w:eastAsia="Calibri" w:hAnsi="Calibri" w:cs="Calibri"/>
          <w:lang w:val="en-US"/>
        </w:rPr>
        <w:t>.</w:t>
      </w:r>
    </w:p>
    <w:p w:rsidR="00CA5D64" w:rsidRDefault="00CA5D64" w:rsidP="002D2BDA">
      <w:pPr>
        <w:spacing w:after="200"/>
        <w:jc w:val="center"/>
        <w:rPr>
          <w:rFonts w:ascii="Calibri" w:eastAsia="Calibri" w:hAnsi="Calibri" w:cs="Calibri"/>
          <w:b/>
          <w:sz w:val="26"/>
          <w:szCs w:val="26"/>
          <w:lang w:val="en-US"/>
        </w:rPr>
      </w:pPr>
      <w:r w:rsidRPr="00382185">
        <w:rPr>
          <w:rFonts w:ascii="Calibri" w:eastAsia="Calibri" w:hAnsi="Calibri" w:cs="Calibri"/>
          <w:b/>
          <w:sz w:val="26"/>
          <w:szCs w:val="26"/>
        </w:rPr>
        <w:t xml:space="preserve">WHY DO WE NEED THIS? </w:t>
      </w:r>
      <w:r>
        <w:rPr>
          <w:sz w:val="26"/>
          <w:szCs w:val="26"/>
          <w:lang w:val="en-US"/>
        </w:rPr>
        <w:br/>
      </w:r>
      <w:r w:rsidRPr="00382185">
        <w:rPr>
          <w:rFonts w:ascii="Calibri" w:eastAsia="Calibri" w:hAnsi="Calibri" w:cs="Calibri"/>
          <w:b/>
          <w:sz w:val="26"/>
          <w:szCs w:val="26"/>
        </w:rPr>
        <w:t>Increase</w:t>
      </w:r>
      <w:r>
        <w:rPr>
          <w:rFonts w:ascii="Calibri" w:eastAsia="Calibri" w:hAnsi="Calibri" w:cs="Calibri"/>
          <w:b/>
          <w:sz w:val="26"/>
          <w:szCs w:val="26"/>
          <w:lang w:val="en-US"/>
        </w:rPr>
        <w:t>s</w:t>
      </w:r>
      <w:r w:rsidRPr="00382185">
        <w:rPr>
          <w:rFonts w:ascii="Calibri" w:eastAsia="Calibri" w:hAnsi="Calibri" w:cs="Calibri"/>
          <w:b/>
          <w:sz w:val="26"/>
          <w:szCs w:val="26"/>
        </w:rPr>
        <w:t xml:space="preserve"> safety for</w:t>
      </w:r>
      <w:r>
        <w:rPr>
          <w:rFonts w:ascii="Calibri" w:eastAsia="Calibri" w:hAnsi="Calibri" w:cs="Calibri"/>
          <w:b/>
          <w:sz w:val="26"/>
          <w:szCs w:val="26"/>
          <w:lang w:val="en-US"/>
        </w:rPr>
        <w:t xml:space="preserve"> victims of domestic violence, sexual assault and stalking</w:t>
      </w:r>
      <w:r w:rsidRPr="00382185">
        <w:rPr>
          <w:rFonts w:ascii="Calibri" w:eastAsia="Calibri" w:hAnsi="Calibri" w:cs="Calibri"/>
          <w:b/>
          <w:sz w:val="26"/>
          <w:szCs w:val="26"/>
        </w:rPr>
        <w:t xml:space="preserve"> </w:t>
      </w:r>
    </w:p>
    <w:p w:rsidR="00CA5D64" w:rsidRDefault="00CA5D64" w:rsidP="002D2BDA">
      <w:pPr>
        <w:numPr>
          <w:ilvl w:val="0"/>
          <w:numId w:val="1"/>
        </w:numPr>
        <w:spacing w:after="200"/>
        <w:rPr>
          <w:rFonts w:ascii="Calibri" w:hAnsi="Calibri"/>
          <w:sz w:val="22"/>
          <w:szCs w:val="22"/>
          <w:lang w:val="en-US"/>
        </w:rPr>
      </w:pPr>
      <w:r w:rsidRPr="00873B87">
        <w:rPr>
          <w:rFonts w:ascii="Calibri" w:hAnsi="Calibri"/>
          <w:sz w:val="22"/>
          <w:szCs w:val="22"/>
          <w:lang w:val="en-US"/>
        </w:rPr>
        <w:t xml:space="preserve">The </w:t>
      </w:r>
      <w:r>
        <w:rPr>
          <w:rFonts w:ascii="Calibri" w:hAnsi="Calibri"/>
          <w:sz w:val="22"/>
          <w:szCs w:val="22"/>
          <w:lang w:val="en-US"/>
        </w:rPr>
        <w:t xml:space="preserve">requirement that a victim’s renewal application be signed and dated by an application assistant is a barrier for victims seeking continued protections under the ACP. </w:t>
      </w:r>
    </w:p>
    <w:p w:rsidR="00CA5D64" w:rsidRDefault="00CA5D64" w:rsidP="00CA5D64">
      <w:pPr>
        <w:numPr>
          <w:ilvl w:val="1"/>
          <w:numId w:val="1"/>
        </w:numPr>
        <w:spacing w:after="120"/>
        <w:rPr>
          <w:rFonts w:ascii="Calibri" w:hAnsi="Calibri"/>
          <w:sz w:val="22"/>
          <w:szCs w:val="22"/>
          <w:lang w:val="en-US"/>
        </w:rPr>
      </w:pPr>
      <w:r>
        <w:rPr>
          <w:rFonts w:ascii="Calibri" w:hAnsi="Calibri"/>
          <w:sz w:val="22"/>
          <w:szCs w:val="22"/>
          <w:lang w:val="en-US"/>
        </w:rPr>
        <w:t xml:space="preserve">The purpose of the renewal is to ensure all information on the prior application is current and to obtain consent for ongoing participation in the program. </w:t>
      </w:r>
    </w:p>
    <w:p w:rsidR="00CA5D64" w:rsidRDefault="00CA5D64" w:rsidP="00CA5D64">
      <w:pPr>
        <w:numPr>
          <w:ilvl w:val="1"/>
          <w:numId w:val="1"/>
        </w:numPr>
        <w:spacing w:after="120"/>
        <w:rPr>
          <w:rFonts w:ascii="Calibri" w:hAnsi="Calibri"/>
          <w:sz w:val="22"/>
          <w:szCs w:val="22"/>
          <w:lang w:val="en-US"/>
        </w:rPr>
      </w:pPr>
      <w:r>
        <w:rPr>
          <w:rFonts w:ascii="Calibri" w:hAnsi="Calibri"/>
          <w:sz w:val="22"/>
          <w:szCs w:val="22"/>
          <w:lang w:val="en-US"/>
        </w:rPr>
        <w:t xml:space="preserve">To participate in the ACP, the victim must have already worked with an application assistant to determine eligibility </w:t>
      </w:r>
      <w:r w:rsidR="00EC3150">
        <w:rPr>
          <w:rFonts w:ascii="Calibri" w:hAnsi="Calibri"/>
          <w:sz w:val="22"/>
          <w:szCs w:val="22"/>
          <w:lang w:val="en-US"/>
        </w:rPr>
        <w:t>for</w:t>
      </w:r>
      <w:r>
        <w:rPr>
          <w:rFonts w:ascii="Calibri" w:hAnsi="Calibri"/>
          <w:sz w:val="22"/>
          <w:szCs w:val="22"/>
          <w:lang w:val="en-US"/>
        </w:rPr>
        <w:t xml:space="preserve"> the program. </w:t>
      </w:r>
    </w:p>
    <w:p w:rsidR="00CA5D64" w:rsidRDefault="00CA5D64" w:rsidP="00CA5D64">
      <w:pPr>
        <w:numPr>
          <w:ilvl w:val="1"/>
          <w:numId w:val="1"/>
        </w:numPr>
        <w:spacing w:after="120"/>
        <w:rPr>
          <w:rFonts w:ascii="Calibri" w:hAnsi="Calibri"/>
          <w:sz w:val="22"/>
          <w:szCs w:val="22"/>
          <w:lang w:val="en-US"/>
        </w:rPr>
      </w:pPr>
      <w:r>
        <w:rPr>
          <w:rFonts w:ascii="Calibri" w:hAnsi="Calibri"/>
          <w:sz w:val="22"/>
          <w:szCs w:val="22"/>
          <w:lang w:val="en-US"/>
        </w:rPr>
        <w:t>It is unnecessary and burdensome for a victim to locate and meet with an application assistant simply to renew their participation in the program. Application assistants could also better use their limited time and resources to assist victims who are in crisis and wish to enroll in the program.</w:t>
      </w:r>
    </w:p>
    <w:p w:rsidR="00CA5D64" w:rsidRDefault="002D2BDA" w:rsidP="00CA5D64">
      <w:pPr>
        <w:numPr>
          <w:ilvl w:val="0"/>
          <w:numId w:val="1"/>
        </w:numPr>
        <w:rPr>
          <w:rFonts w:ascii="Calibri" w:hAnsi="Calibri"/>
          <w:sz w:val="22"/>
          <w:szCs w:val="22"/>
          <w:lang w:val="en-US"/>
        </w:rPr>
      </w:pPr>
      <w:r>
        <w:rPr>
          <w:rFonts w:ascii="Calibri" w:hAnsi="Calibri"/>
          <w:sz w:val="22"/>
          <w:szCs w:val="22"/>
          <w:lang w:val="en-US"/>
        </w:rPr>
        <w:t xml:space="preserve">Relocating the ACP to the Department of Personnel and Administration </w:t>
      </w:r>
      <w:r w:rsidRPr="002D2BDA">
        <w:rPr>
          <w:rFonts w:ascii="Calibri" w:hAnsi="Calibri"/>
          <w:sz w:val="22"/>
          <w:szCs w:val="22"/>
          <w:lang w:val="en-US"/>
        </w:rPr>
        <w:t>enhance</w:t>
      </w:r>
      <w:r>
        <w:rPr>
          <w:rFonts w:ascii="Calibri" w:hAnsi="Calibri"/>
          <w:sz w:val="22"/>
          <w:szCs w:val="22"/>
          <w:lang w:val="en-US"/>
        </w:rPr>
        <w:t>s</w:t>
      </w:r>
      <w:r w:rsidRPr="002D2BDA">
        <w:rPr>
          <w:rFonts w:ascii="Calibri" w:hAnsi="Calibri"/>
          <w:sz w:val="22"/>
          <w:szCs w:val="22"/>
          <w:lang w:val="en-US"/>
        </w:rPr>
        <w:t xml:space="preserve"> the security</w:t>
      </w:r>
      <w:r>
        <w:rPr>
          <w:rFonts w:ascii="Calibri" w:hAnsi="Calibri"/>
          <w:sz w:val="22"/>
          <w:szCs w:val="22"/>
          <w:lang w:val="en-US"/>
        </w:rPr>
        <w:t xml:space="preserve"> and efficiency of the Program </w:t>
      </w:r>
      <w:r w:rsidRPr="002D2BDA">
        <w:rPr>
          <w:rFonts w:ascii="Calibri" w:hAnsi="Calibri"/>
          <w:sz w:val="22"/>
          <w:szCs w:val="22"/>
          <w:lang w:val="en-US"/>
        </w:rPr>
        <w:t>and decrease</w:t>
      </w:r>
      <w:r>
        <w:rPr>
          <w:rFonts w:ascii="Calibri" w:hAnsi="Calibri"/>
          <w:sz w:val="22"/>
          <w:szCs w:val="22"/>
          <w:lang w:val="en-US"/>
        </w:rPr>
        <w:t>s</w:t>
      </w:r>
      <w:r w:rsidRPr="002D2BDA">
        <w:rPr>
          <w:rFonts w:ascii="Calibri" w:hAnsi="Calibri"/>
          <w:sz w:val="22"/>
          <w:szCs w:val="22"/>
          <w:lang w:val="en-US"/>
        </w:rPr>
        <w:t xml:space="preserve"> the amount of funding used on administration</w:t>
      </w:r>
      <w:r>
        <w:rPr>
          <w:rFonts w:ascii="Calibri" w:hAnsi="Calibri"/>
          <w:sz w:val="22"/>
          <w:szCs w:val="22"/>
          <w:lang w:val="en-US"/>
        </w:rPr>
        <w:t xml:space="preserve"> so it can be used for services for Program participants</w:t>
      </w:r>
      <w:r w:rsidRPr="002D2BDA">
        <w:rPr>
          <w:rFonts w:ascii="Calibri" w:hAnsi="Calibri"/>
          <w:sz w:val="22"/>
          <w:szCs w:val="22"/>
          <w:lang w:val="en-US"/>
        </w:rPr>
        <w:t>.</w:t>
      </w:r>
    </w:p>
    <w:p w:rsidR="002D2BDA" w:rsidRDefault="002D2BDA" w:rsidP="002D2BDA">
      <w:pPr>
        <w:ind w:left="360"/>
        <w:rPr>
          <w:rFonts w:ascii="Calibri" w:hAnsi="Calibri"/>
          <w:sz w:val="22"/>
          <w:szCs w:val="22"/>
          <w:lang w:val="en-US"/>
        </w:rPr>
      </w:pPr>
    </w:p>
    <w:p w:rsidR="002D2BDA" w:rsidRDefault="002D2BDA" w:rsidP="002D2BDA">
      <w:pPr>
        <w:ind w:left="360"/>
        <w:rPr>
          <w:rFonts w:ascii="Calibri" w:hAnsi="Calibri"/>
          <w:sz w:val="22"/>
          <w:szCs w:val="22"/>
          <w:lang w:val="en-US"/>
        </w:rPr>
      </w:pPr>
    </w:p>
    <w:p w:rsidR="00CA5D64" w:rsidRPr="00873B87" w:rsidRDefault="00CA5D64" w:rsidP="00CA5D64">
      <w:pPr>
        <w:ind w:left="360"/>
        <w:rPr>
          <w:rFonts w:ascii="Calibri" w:hAnsi="Calibri"/>
          <w:sz w:val="22"/>
          <w:szCs w:val="22"/>
          <w:lang w:val="en-US"/>
        </w:rPr>
      </w:pPr>
    </w:p>
    <w:p w:rsidR="005E5692" w:rsidRPr="00CA5D64" w:rsidRDefault="00CA5D64" w:rsidP="00CA5D64">
      <w:pPr>
        <w:spacing w:after="200"/>
        <w:ind w:left="124"/>
        <w:jc w:val="center"/>
        <w:rPr>
          <w:sz w:val="20"/>
          <w:szCs w:val="20"/>
          <w:lang w:val="en-US"/>
        </w:rPr>
      </w:pPr>
      <w:r w:rsidRPr="00A21D31">
        <w:rPr>
          <w:rFonts w:ascii="Calibri" w:eastAsia="Calibri" w:hAnsi="Calibri" w:cs="Calibri"/>
          <w:b/>
          <w:i/>
          <w:sz w:val="20"/>
          <w:szCs w:val="20"/>
        </w:rPr>
        <w:t xml:space="preserve">For more information, please contact Amy Miller of the Colorado Coalition Against Domestic Violence at 303.968.5964 or </w:t>
      </w:r>
      <w:hyperlink r:id="rId7" w:history="1">
        <w:r w:rsidRPr="00A21D31">
          <w:rPr>
            <w:rFonts w:ascii="Calibri" w:eastAsia="Calibri" w:hAnsi="Calibri" w:cs="Calibri"/>
            <w:b/>
            <w:i/>
            <w:color w:val="0000FF"/>
            <w:sz w:val="20"/>
            <w:szCs w:val="20"/>
            <w:u w:val="single"/>
          </w:rPr>
          <w:t>amiller@ccadv.org</w:t>
        </w:r>
      </w:hyperlink>
      <w:r w:rsidRPr="00A21D31">
        <w:rPr>
          <w:rFonts w:ascii="Calibri" w:eastAsia="Calibri" w:hAnsi="Calibri" w:cs="Calibri"/>
          <w:b/>
          <w:i/>
          <w:sz w:val="20"/>
          <w:szCs w:val="20"/>
        </w:rPr>
        <w:t xml:space="preserve"> or contact Annmarie Jensen of Jensen Public Affairs at 720.999.4795 or </w:t>
      </w:r>
      <w:hyperlink r:id="rId8" w:history="1">
        <w:r w:rsidRPr="00A21D31">
          <w:rPr>
            <w:rFonts w:ascii="Calibri" w:eastAsia="Calibri" w:hAnsi="Calibri" w:cs="Calibri"/>
            <w:b/>
            <w:i/>
            <w:color w:val="0000FF"/>
            <w:sz w:val="20"/>
            <w:szCs w:val="20"/>
            <w:u w:val="single"/>
          </w:rPr>
          <w:t>ajgovtrelations@gmail.com</w:t>
        </w:r>
      </w:hyperlink>
    </w:p>
    <w:sectPr w:rsidR="005E5692" w:rsidRPr="00CA5D64" w:rsidSect="00702280">
      <w:pgSz w:w="12240" w:h="15840"/>
      <w:pgMar w:top="360" w:right="720" w:bottom="45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81B3A"/>
    <w:multiLevelType w:val="hybridMultilevel"/>
    <w:tmpl w:val="6B866328"/>
    <w:lvl w:ilvl="0" w:tplc="6242F166">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2462CB6"/>
    <w:multiLevelType w:val="hybridMultilevel"/>
    <w:tmpl w:val="DD1063FC"/>
    <w:lvl w:ilvl="0" w:tplc="21262E6C">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D64"/>
    <w:rsid w:val="001D518E"/>
    <w:rsid w:val="002D2BDA"/>
    <w:rsid w:val="005B6FFD"/>
    <w:rsid w:val="005E5692"/>
    <w:rsid w:val="00702280"/>
    <w:rsid w:val="008B0634"/>
    <w:rsid w:val="00B15AB3"/>
    <w:rsid w:val="00CA5D64"/>
    <w:rsid w:val="00EC3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D64"/>
    <w:pPr>
      <w:shd w:val="solid" w:color="FFFFFF" w:fill="auto"/>
      <w:spacing w:after="0" w:line="240" w:lineRule="auto"/>
    </w:pPr>
    <w:rPr>
      <w:rFonts w:ascii="Times New Roman" w:eastAsia="Times New Roman" w:hAnsi="Times New Roman" w:cs="Times New Roman"/>
      <w:color w:val="000000"/>
      <w:sz w:val="24"/>
      <w:szCs w:val="24"/>
      <w:shd w:val="solid" w:color="FFFFFF" w:fill="auto"/>
      <w:lang w:val="ru-RU"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D64"/>
    <w:rPr>
      <w:rFonts w:ascii="Tahoma" w:hAnsi="Tahoma" w:cs="Tahoma"/>
      <w:sz w:val="16"/>
      <w:szCs w:val="16"/>
    </w:rPr>
  </w:style>
  <w:style w:type="character" w:customStyle="1" w:styleId="BalloonTextChar">
    <w:name w:val="Balloon Text Char"/>
    <w:basedOn w:val="DefaultParagraphFont"/>
    <w:link w:val="BalloonText"/>
    <w:uiPriority w:val="99"/>
    <w:semiHidden/>
    <w:rsid w:val="00CA5D64"/>
    <w:rPr>
      <w:rFonts w:ascii="Tahoma" w:eastAsia="Times New Roman" w:hAnsi="Tahoma" w:cs="Tahoma"/>
      <w:color w:val="000000"/>
      <w:sz w:val="16"/>
      <w:szCs w:val="16"/>
      <w:shd w:val="solid" w:color="FFFFFF" w:fill="auto"/>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D64"/>
    <w:pPr>
      <w:shd w:val="solid" w:color="FFFFFF" w:fill="auto"/>
      <w:spacing w:after="0" w:line="240" w:lineRule="auto"/>
    </w:pPr>
    <w:rPr>
      <w:rFonts w:ascii="Times New Roman" w:eastAsia="Times New Roman" w:hAnsi="Times New Roman" w:cs="Times New Roman"/>
      <w:color w:val="000000"/>
      <w:sz w:val="24"/>
      <w:szCs w:val="24"/>
      <w:shd w:val="solid" w:color="FFFFFF" w:fill="auto"/>
      <w:lang w:val="ru-RU"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D64"/>
    <w:rPr>
      <w:rFonts w:ascii="Tahoma" w:hAnsi="Tahoma" w:cs="Tahoma"/>
      <w:sz w:val="16"/>
      <w:szCs w:val="16"/>
    </w:rPr>
  </w:style>
  <w:style w:type="character" w:customStyle="1" w:styleId="BalloonTextChar">
    <w:name w:val="Balloon Text Char"/>
    <w:basedOn w:val="DefaultParagraphFont"/>
    <w:link w:val="BalloonText"/>
    <w:uiPriority w:val="99"/>
    <w:semiHidden/>
    <w:rsid w:val="00CA5D64"/>
    <w:rPr>
      <w:rFonts w:ascii="Tahoma" w:eastAsia="Times New Roman" w:hAnsi="Tahoma" w:cs="Tahoma"/>
      <w:color w:val="000000"/>
      <w:sz w:val="16"/>
      <w:szCs w:val="16"/>
      <w:shd w:val="solid" w:color="FFFFFF" w:fill="aut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jgovtrelations@gmail.com" TargetMode="External"/><Relationship Id="rId3" Type="http://schemas.microsoft.com/office/2007/relationships/stylesWithEffects" Target="stylesWithEffects.xml"/><Relationship Id="rId7" Type="http://schemas.openxmlformats.org/officeDocument/2006/relationships/hyperlink" Target="mailto:amiller@ccad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CCADV</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Nichols</dc:creator>
  <cp:lastModifiedBy>Amy Miller</cp:lastModifiedBy>
  <cp:revision>2</cp:revision>
  <dcterms:created xsi:type="dcterms:W3CDTF">2014-02-21T02:31:00Z</dcterms:created>
  <dcterms:modified xsi:type="dcterms:W3CDTF">2014-02-21T02:31:00Z</dcterms:modified>
</cp:coreProperties>
</file>